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22</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fishes (e.g., juvenile Chinook Salmon) versus other food items (e.g., invertebrates). Therefore, we varied the proportion of the diet consisting of fish versus invertebrates to range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DSR and NRR emigrants potentially consumed by all Northern Pikeminnow in Deadwater Slough, we then multiplied the grams of fish consumed by an individual Northern Pikeminnow during each period (fall and spring) by the estimated population size for that period. The total biomass was further converted to an estimate of the total number of Chinook Salmon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t xml:space="preserve">All the estimators yielded estimates with overlapping confidence intervals. Because the sampling design most closely matched a multiple census estimator, we feel the Schnabel estimator is the most appropriate. We examined diagnostic plots for that estimator (number of marks vs. proportion of recaptures) and they suggested that we were meeting the assumptions of the Schnabel estimator. Therefore, further results will be based on the Schnabel estimates of abundance.</w:t>
      </w:r>
    </w:p>
    <w:p>
      <w:pPr>
        <w:pStyle w:val="BodyText"/>
      </w:pPr>
      <w:r>
        <w:t xml:space="preserve">Using the mean of the Schnabel estimates of Northern Pikeminnow abundance across two fall sampling events, and the mean of the CPUE from those events as well, we estimated there to be 14,897 (95%CI: 7,610 - 31,747) Northern Pikeminnow in Deadwater Slough during spring of 2020.</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the fish and we were able to confirm fish or fish remnants in 44. Expressed as a percentage, 22.4% of lavaged Northern Pikeminnow had stomach contents of which 12.6% we identified containing fish or fish remnants. Table</w:t>
      </w:r>
      <w:r>
        <w:t xml:space="preserve"> </w:t>
      </w:r>
      <w:r>
        <w:t xml:space="preserve">5</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xx.x g of fish during the modeled fall time period (September 15 - November 30) and an additional xx.x g of fish during the modeled spring time period (March 1 - June 31). Given estimated population sizes of xx,xxx Northern Pikeminnow during fall and xx,xxx during spring, that would convert to xxx,xxx - xxx,xxx g during fall and xxx,xxx g during spring. Given average weights of 10.3 g for DSR Chinook salmon and 10.9 g for NRR Chinook salmon, we would estimate that xx,xxx and xx,xxx juvenile Chinook salmon could be consumed during the fall and spring emigrations in Deadwater Slough, respectively.</w:t>
      </w:r>
    </w:p>
    <w:p>
      <w:pPr>
        <w:pStyle w:val="BodyText"/>
      </w:pPr>
      <w:r>
        <w:t xml:space="preserve">The estimated number of Chinook Salmon consumed by Northern Pikeminnow begins to taper off between 30-90% of Pikeminnow diet. So although we are uncertain of that diet proportion, the impact of that uncertainty is somewhat constrained. We estimated the total juvenile outmigrants consumed (fall and spring) to be between 93,009 and 206,596. This translates to adult Chinook equivalents between 571 and 1,269 (Figure</w:t>
      </w:r>
      <w:r>
        <w:t xml:space="preserve"> </w:t>
      </w:r>
      <w:r>
        <w:t xml:space="preserve">6</w:t>
      </w:r>
      <w:r>
        <w:t xml:space="preserve">).</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2"/>
    <w:bookmarkStart w:id="6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Average CPUE and abundance in the fall (95% confidence interval), and CPUE and estimates of spring abundance (95% confidence interval) for Northern Pikeminnow in Deadwater Slough.</w:t>
      </w:r>
    </w:p>
    <w:tbl>
      <w:tblPr>
        <w:tblStyle w:val="Table"/>
        <w:tblW w:type="auto" w:w="0"/>
        <w:tblLook w:firstRow="1" w:lastRow="0" w:firstColumn="0" w:lastColumn="0" w:noHBand="0" w:noVBand="0" w:val="0020"/>
        <w:tblCaption w:val="Table 4: Average CPUE and abundance in the fall (95% confidence interval), and CPUE and estimates of spring abundance (95% confidence interval) for Northern Pikeminnow in Deadwater Slough."/>
      </w:tblPr>
      <w:tblGrid>
        <w:gridCol w:w="1584"/>
        <w:gridCol w:w="1584"/>
        <w:gridCol w:w="1584"/>
        <w:gridCol w:w="1584"/>
        <w:gridCol w:w="1584"/>
      </w:tblGrid>
      <w:tr>
        <w:trPr>
          <w:tblHeader w:val="true"/>
        </w:trPr>
        <w:tc>
          <w:tcPr/>
          <w:p>
            <w:pPr>
              <w:pStyle w:val="Compact"/>
              <w:jc w:val="left"/>
            </w:pPr>
            <w:r>
              <w:t xml:space="preserve">Species</w:t>
            </w:r>
          </w:p>
        </w:tc>
        <w:tc>
          <w:tcPr/>
          <w:p>
            <w:pPr>
              <w:pStyle w:val="Compact"/>
              <w:jc w:val="right"/>
            </w:pPr>
            <w:r>
              <w:t xml:space="preserve">Avg Fall CPUE</w:t>
            </w:r>
          </w:p>
        </w:tc>
        <w:tc>
          <w:tcPr/>
          <w:p>
            <w:pPr>
              <w:pStyle w:val="Compact"/>
              <w:jc w:val="right"/>
            </w:pPr>
            <w:r>
              <w:t xml:space="preserve">Spring CPUE</w:t>
            </w:r>
          </w:p>
        </w:tc>
        <w:tc>
          <w:tcPr/>
          <w:p>
            <w:pPr>
              <w:pStyle w:val="Compact"/>
              <w:jc w:val="left"/>
            </w:pPr>
            <w:r>
              <w:t xml:space="preserve">Avg. Fall N (CI)</w:t>
            </w:r>
          </w:p>
        </w:tc>
        <w:tc>
          <w:tcPr/>
          <w:p>
            <w:pPr>
              <w:pStyle w:val="Compact"/>
              <w:jc w:val="left"/>
            </w:pPr>
            <w:r>
              <w:t xml:space="preserve">Spring N (CI)</w:t>
            </w:r>
          </w:p>
        </w:tc>
      </w:tr>
      <w:tr>
        <w:tc>
          <w:tcPr/>
          <w:p>
            <w:pPr>
              <w:pStyle w:val="Compact"/>
              <w:jc w:val="left"/>
            </w:pPr>
            <w:r>
              <w:t xml:space="preserve">Northern Pikeminnow</w:t>
            </w:r>
          </w:p>
        </w:tc>
        <w:tc>
          <w:tcPr/>
          <w:p>
            <w:pPr>
              <w:pStyle w:val="Compact"/>
              <w:jc w:val="right"/>
            </w:pPr>
            <w:r>
              <w:t xml:space="preserve">1.53881</w:t>
            </w:r>
          </w:p>
        </w:tc>
        <w:tc>
          <w:tcPr/>
          <w:p>
            <w:pPr>
              <w:pStyle w:val="Compact"/>
              <w:jc w:val="right"/>
            </w:pPr>
            <w:r>
              <w:t xml:space="preserve">0.8145161</w:t>
            </w:r>
          </w:p>
        </w:tc>
        <w:tc>
          <w:tcPr/>
          <w:p>
            <w:pPr>
              <w:pStyle w:val="Compact"/>
              <w:jc w:val="left"/>
            </w:pPr>
            <w:r>
              <w:t xml:space="preserve">28,144 (14,378, 59,978)</w:t>
            </w:r>
          </w:p>
        </w:tc>
        <w:tc>
          <w:tcPr/>
          <w:p>
            <w:pPr>
              <w:pStyle w:val="Compact"/>
              <w:jc w:val="left"/>
            </w:pPr>
            <w:r>
              <w:t xml:space="preserve">14,897 (7,610, 31,747)</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6: Estimates of smolts consumed during fall migration by Northern Pikeminnow, and the adult equivalent of those smolts based on SARs.</w:t>
      </w:r>
    </w:p>
    <w:tbl>
      <w:tblPr>
        <w:tblStyle w:val="Table"/>
        <w:tblW w:type="auto" w:w="0"/>
        <w:tblLook w:firstRow="1" w:lastRow="0" w:firstColumn="0" w:lastColumn="0" w:noHBand="0" w:noVBand="0" w:val="0020"/>
        <w:tblCaption w:val="Table 6: Estimates of smolts consumed during fall migration by Northern Pikeminnow, and the adult equivalent of those smolts based on SARs."/>
      </w:tblPr>
      <w:tblGrid>
        <w:gridCol w:w="1980"/>
        <w:gridCol w:w="1980"/>
        <w:gridCol w:w="1980"/>
        <w:gridCol w:w="1980"/>
      </w:tblGrid>
      <w:tr>
        <w:trPr>
          <w:tblHeader w:val="true"/>
        </w:trPr>
        <w:tc>
          <w:tcPr/>
          <w:p>
            <w:pPr>
              <w:pStyle w:val="Compact"/>
              <w:jc w:val="left"/>
            </w:pPr>
            <w:r>
              <w:t xml:space="preserve">Stage</w:t>
            </w:r>
          </w:p>
        </w:tc>
        <w:tc>
          <w:tcPr/>
          <w:p>
            <w:pPr>
              <w:pStyle w:val="Compact"/>
              <w:jc w:val="right"/>
            </w:pPr>
            <w:r>
              <w:t xml:space="preserve">N</w:t>
            </w:r>
          </w:p>
        </w:tc>
        <w:tc>
          <w:tcPr/>
          <w:p>
            <w:pPr>
              <w:pStyle w:val="Compact"/>
              <w:jc w:val="right"/>
            </w:pPr>
            <w:r>
              <w:t xml:space="preserve">Lower 95% CI</w:t>
            </w:r>
          </w:p>
        </w:tc>
        <w:tc>
          <w:tcPr/>
          <w:p>
            <w:pPr>
              <w:pStyle w:val="Compact"/>
              <w:jc w:val="right"/>
            </w:pPr>
            <w:r>
              <w:t xml:space="preserve">Upper 95% CI</w:t>
            </w:r>
          </w:p>
        </w:tc>
      </w:tr>
      <w:tr>
        <w:tc>
          <w:tcPr/>
          <w:p>
            <w:pPr>
              <w:pStyle w:val="Compact"/>
              <w:jc w:val="left"/>
            </w:pPr>
            <w:r>
              <w:t xml:space="preserve">Smolt</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r>
      <w:tr>
        <w:tc>
          <w:tcPr/>
          <w:p>
            <w:pPr>
              <w:pStyle w:val="Compact"/>
              <w:jc w:val="left"/>
            </w:pPr>
            <w:r>
              <w:t xml:space="preserve">Smolt</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r>
      <w:tr>
        <w:tc>
          <w:tcPr/>
          <w:p>
            <w:pPr>
              <w:pStyle w:val="Compact"/>
              <w:jc w:val="left"/>
            </w:pPr>
            <w:r>
              <w:t xml:space="preserve">Smolt</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r>
      <w:tr>
        <w:tc>
          <w:tcPr/>
          <w:p>
            <w:pPr>
              <w:pStyle w:val="Compact"/>
              <w:jc w:val="left"/>
            </w:pPr>
            <w:r>
              <w:t xml:space="preserve">Smolt</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r>
      <w:tr>
        <w:tc>
          <w:tcPr/>
          <w:p>
            <w:pPr>
              <w:pStyle w:val="Compact"/>
              <w:jc w:val="left"/>
            </w:pPr>
            <w:r>
              <w:t xml:space="preserve">Smolt</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r>
      <w:tr>
        <w:tc>
          <w:tcPr/>
          <w:p>
            <w:pPr>
              <w:pStyle w:val="Compact"/>
              <w:jc w:val="left"/>
            </w:pPr>
            <w:r>
              <w:t xml:space="preserve">Smolt</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r>
      <w:tr>
        <w:tc>
          <w:tcPr/>
          <w:p>
            <w:pPr>
              <w:pStyle w:val="Compact"/>
              <w:jc w:val="left"/>
            </w:pPr>
            <w:r>
              <w:t xml:space="preserve">Smolt</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r>
      <w:tr>
        <w:tc>
          <w:tcPr/>
          <w:p>
            <w:pPr>
              <w:pStyle w:val="Compact"/>
              <w:jc w:val="left"/>
            </w:pPr>
            <w:r>
              <w:t xml:space="preserve">Smolt</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r>
      <w:tr>
        <w:tc>
          <w:tcPr/>
          <w:p>
            <w:pPr>
              <w:pStyle w:val="Compact"/>
              <w:jc w:val="left"/>
            </w:pPr>
            <w:r>
              <w:t xml:space="preserve">Smolt</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r>
      <w:tr>
        <w:tc>
          <w:tcPr/>
          <w:p>
            <w:pPr>
              <w:pStyle w:val="Compact"/>
              <w:jc w:val="left"/>
            </w:pPr>
            <w:r>
              <w:t xml:space="preserve">Smolt</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r>
      <w:tr>
        <w:tc>
          <w:tcPr/>
          <w:p>
            <w:pPr>
              <w:pStyle w:val="Compact"/>
              <w:jc w:val="left"/>
            </w:pPr>
            <w:r>
              <w:t xml:space="preserve">Smolt</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r>
      <w:tr>
        <w:tc>
          <w:tcPr/>
          <w:p>
            <w:pPr>
              <w:pStyle w:val="Compact"/>
              <w:jc w:val="left"/>
            </w:pPr>
            <w:r>
              <w:t xml:space="preserve">Smolt</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r>
      <w:tr>
        <w:tc>
          <w:tcPr/>
          <w:p>
            <w:pPr>
              <w:pStyle w:val="Compact"/>
              <w:jc w:val="left"/>
            </w:pPr>
            <w:r>
              <w:t xml:space="preserve">Smolt</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r>
      <w:tr>
        <w:tc>
          <w:tcPr/>
          <w:p>
            <w:pPr>
              <w:pStyle w:val="Compact"/>
              <w:jc w:val="left"/>
            </w:pPr>
            <w:r>
              <w:t xml:space="preserve">Smolt</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r>
      <w:tr>
        <w:tc>
          <w:tcPr/>
          <w:p>
            <w:pPr>
              <w:pStyle w:val="Compact"/>
              <w:jc w:val="left"/>
            </w:pPr>
            <w:r>
              <w:t xml:space="preserve">Smolt</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r>
      <w:tr>
        <w:tc>
          <w:tcPr/>
          <w:p>
            <w:pPr>
              <w:pStyle w:val="Compact"/>
              <w:jc w:val="left"/>
            </w:pPr>
            <w:r>
              <w:t xml:space="preserve">Smolt</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r>
      <w:tr>
        <w:tc>
          <w:tcPr/>
          <w:p>
            <w:pPr>
              <w:pStyle w:val="Compact"/>
              <w:jc w:val="left"/>
            </w:pPr>
            <w:r>
              <w:t xml:space="preserve">Smolt</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r>
      <w:tr>
        <w:tc>
          <w:tcPr/>
          <w:p>
            <w:pPr>
              <w:pStyle w:val="Compact"/>
              <w:jc w:val="left"/>
            </w:pPr>
            <w:r>
              <w:t xml:space="preserve">Smolt</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r>
      <w:tr>
        <w:tc>
          <w:tcPr/>
          <w:p>
            <w:pPr>
              <w:pStyle w:val="Compact"/>
              <w:jc w:val="left"/>
            </w:pPr>
            <w:r>
              <w:t xml:space="preserve">Adult Equivalent</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Adult Equivalent</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Adult Equivalent</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Adult Equivalent</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Adult Equivalent</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Adult Equivalent</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Adult Equivalent</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Adult Equivalent</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Adult Equivalent</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Adult Equivalent</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Adult Equivalent</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Adult Equivalent</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Adult Equivalent</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Adult Equivalent</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Adult Equivalent</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Adult Equivalent</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Adult Equivalent</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Adult Equivalent</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90"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A length frequency plot.</w:t>
      </w:r>
    </w:p>
    <w:p>
      <w:r>
        <w:br w:type="page"/>
      </w:r>
    </w:p>
    <w:p>
      <w:pPr>
        <w:pStyle w:val="CaptionedFigure"/>
      </w:pPr>
      <w:r>
        <w:drawing>
          <wp:inline>
            <wp:extent cx="5504749" cy="3669832"/>
            <wp:effectExtent b="0" l="0" r="0" t="0"/>
            <wp:docPr descr="Figure 5: Temp." title="" id="1" name="Picture"/>
            <a:graphic>
              <a:graphicData uri="http://schemas.openxmlformats.org/drawingml/2006/picture">
                <pic:pic>
                  <pic:nvPicPr>
                    <pic:cNvPr descr="../figures/bio-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Temp.</w:t>
      </w:r>
    </w:p>
    <w:p>
      <w:r>
        <w:br w:type="page"/>
      </w:r>
    </w:p>
    <w:p>
      <w:pPr>
        <w:pStyle w:val="CaptionedFigure"/>
      </w:pPr>
      <w:r>
        <w:drawing>
          <wp:inline>
            <wp:extent cx="5504749" cy="3669832"/>
            <wp:effectExtent b="0" l="0" r="0" t="0"/>
            <wp:docPr descr="Figure 6: How many Chinook Salmon are consumed by Northern Pikeminnow, depending on what percent of diet is Chinook. Faceted by migration season and life-stage." title="" id="1" name="Picture"/>
            <a:graphic>
              <a:graphicData uri="http://schemas.openxmlformats.org/drawingml/2006/picture">
                <pic:pic>
                  <pic:nvPicPr>
                    <pic:cNvPr descr="../figures/adult-imp-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How many Chinook Salmon are consumed by Northern Pikeminnow, depending on what percent of diet is Chinook. Faceted by migration season and life-stage.</w:t>
      </w:r>
    </w:p>
    <w:p>
      <w:r>
        <w:br w:type="page"/>
      </w:r>
    </w:p>
    <w:bookmarkStart w:id="89" w:name="colophon"/>
    <w:p>
      <w:pPr>
        <w:pStyle w:val="Heading3"/>
      </w:pPr>
      <w:r>
        <w:t xml:space="preserve">Colophon</w:t>
      </w:r>
    </w:p>
    <w:p>
      <w:pPr>
        <w:pStyle w:val="FirstParagraph"/>
      </w:pPr>
      <w:r>
        <w:t xml:space="preserve">This report was generated on 2021-12-22 08:45:14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[944046e] 2021-12-22: draft Intro complete</w:t>
      </w:r>
    </w:p>
    <w:bookmarkEnd w:id="89"/>
    <w:bookmarkEnd w:id="9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2021-12-22T15:45:16Z</dcterms:created>
  <dcterms:modified xsi:type="dcterms:W3CDTF">2021-12-22T15:45:16Z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22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